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EF53F" w14:textId="19001825" w:rsidR="00084407" w:rsidRPr="002F4557" w:rsidRDefault="005020C6">
      <w:pPr>
        <w:rPr>
          <w:color w:val="7F7F7F" w:themeColor="text1" w:themeTint="80"/>
          <w:sz w:val="24"/>
        </w:rPr>
      </w:pPr>
      <w:r w:rsidRPr="002F4557">
        <w:rPr>
          <w:sz w:val="24"/>
        </w:rPr>
        <w:t xml:space="preserve">Vorschlag J. Budde (IfE): </w:t>
      </w:r>
      <w:r w:rsidR="00EC4570" w:rsidRPr="002F4557">
        <w:rPr>
          <w:b/>
          <w:color w:val="FF0000"/>
          <w:sz w:val="24"/>
        </w:rPr>
        <w:t>Sozialwissenschaftliche Fakultät</w:t>
      </w:r>
      <w:r w:rsidRPr="002F4557">
        <w:rPr>
          <w:sz w:val="24"/>
        </w:rPr>
        <w:t xml:space="preserve">. </w:t>
      </w:r>
      <w:r w:rsidRPr="002F4557">
        <w:rPr>
          <w:color w:val="7F7F7F" w:themeColor="text1" w:themeTint="80"/>
          <w:sz w:val="24"/>
        </w:rPr>
        <w:t>Begründung</w:t>
      </w:r>
      <w:r w:rsidR="00255A69" w:rsidRPr="002F4557">
        <w:rPr>
          <w:color w:val="7F7F7F" w:themeColor="text1" w:themeTint="80"/>
          <w:sz w:val="24"/>
        </w:rPr>
        <w:t xml:space="preserve">: Die Fakultät ist fachlich von einer erheblichen Bandbreite geprägt. Zugleich soll sie Identität stiften und fachliche Kohärenz nach innen und außen zumindest andeuten, um erkennbar zu sein. Einen </w:t>
      </w:r>
      <w:proofErr w:type="gramStart"/>
      <w:r w:rsidR="00255A69" w:rsidRPr="002F4557">
        <w:rPr>
          <w:color w:val="7F7F7F" w:themeColor="text1" w:themeTint="80"/>
          <w:sz w:val="24"/>
        </w:rPr>
        <w:t>könnte</w:t>
      </w:r>
      <w:proofErr w:type="gramEnd"/>
      <w:r w:rsidR="00255A69" w:rsidRPr="002F4557">
        <w:rPr>
          <w:color w:val="7F7F7F" w:themeColor="text1" w:themeTint="80"/>
          <w:sz w:val="24"/>
        </w:rPr>
        <w:t xml:space="preserve"> die vertretenen Abteilungen und Seminare, dass sie sich in Lehre und Forschung auf relevante Fragestellungen gegenwärtiger Gesellschaften beziehen und diese in ihrer sozialen Relevanz thematisieren. Mit der Fokussierung lediglich auf den Termin Sozialwissenschaft wird sowohl einer eher gesellschaftswissenschaftliches als auch ein eher subjektwissenschaftliches Verständnis sozialer Verhältnisse ermöglicht und zugleich (innerhalb einer großen) Klammer Verbindendendes ausgedrückt.</w:t>
      </w:r>
    </w:p>
    <w:p w14:paraId="12193217" w14:textId="08A4D34F" w:rsidR="00CF361E" w:rsidRPr="002F4557" w:rsidRDefault="00CF361E">
      <w:pPr>
        <w:rPr>
          <w:b/>
          <w:color w:val="FF0000"/>
          <w:sz w:val="24"/>
        </w:rPr>
      </w:pPr>
      <w:r w:rsidRPr="002F4557">
        <w:rPr>
          <w:b/>
          <w:color w:val="FF0000"/>
          <w:sz w:val="24"/>
        </w:rPr>
        <w:t xml:space="preserve">Fakultät für Sozial- und Gesellschaftswissenschaften </w:t>
      </w:r>
    </w:p>
    <w:p w14:paraId="38173E8B" w14:textId="7864072F" w:rsidR="00BB0533" w:rsidRPr="002F4557" w:rsidRDefault="00BB0533">
      <w:pPr>
        <w:rPr>
          <w:color w:val="808080" w:themeColor="background1" w:themeShade="80"/>
          <w:sz w:val="24"/>
        </w:rPr>
      </w:pPr>
      <w:r w:rsidRPr="002F4557">
        <w:rPr>
          <w:sz w:val="24"/>
        </w:rPr>
        <w:t xml:space="preserve">Vorschlag Uwe Puetter (IGT): </w:t>
      </w:r>
      <w:r w:rsidRPr="002F4557">
        <w:rPr>
          <w:b/>
          <w:color w:val="FF0000"/>
          <w:sz w:val="24"/>
        </w:rPr>
        <w:t>Fakultät für Geistes- und Sozialwissenschaften</w:t>
      </w:r>
      <w:r w:rsidRPr="002F4557">
        <w:rPr>
          <w:sz w:val="24"/>
        </w:rPr>
        <w:t xml:space="preserve">. </w:t>
      </w:r>
      <w:r w:rsidRPr="002F4557">
        <w:rPr>
          <w:color w:val="808080" w:themeColor="background1" w:themeShade="80"/>
          <w:sz w:val="24"/>
        </w:rPr>
        <w:t xml:space="preserve">Begründung: Ich folge Jürgen Budde in seiner Begründung der sozialwissenschaftlichen Dimension. Der Zusatz Geisteswissenschaften würde Philosophie und Theologie noch einmal ausdrücklich einbetten. </w:t>
      </w:r>
    </w:p>
    <w:p w14:paraId="50065011" w14:textId="2448B267" w:rsidR="00F40073" w:rsidRPr="002F4557" w:rsidRDefault="00F40073" w:rsidP="00F40073">
      <w:pPr>
        <w:rPr>
          <w:sz w:val="24"/>
        </w:rPr>
      </w:pPr>
      <w:r w:rsidRPr="002F4557">
        <w:rPr>
          <w:sz w:val="24"/>
        </w:rPr>
        <w:t>Berthold Hass (IIM): Ich schließe mich dem Vorschlag von Jürgen Budde ausdrücklich an. Die sozialwissenschaftliche Ausrichtung ist die große Klammer (oder auch der kleinste gemeinsame Nenner). Das bedeutet zugleich, dass jede weitere Hervorhebung von bestimmten Disziplinen womöglich weitere Ergänzungen erfordern würde, um wieder eine Balance herzustellen. Daher mein Plädoyer für die kompakte Lösung „Sozialwissenschaften“.</w:t>
      </w:r>
    </w:p>
    <w:p w14:paraId="759A28C5" w14:textId="2DF67458" w:rsidR="00C744AE" w:rsidRPr="002F4557" w:rsidRDefault="00C744AE" w:rsidP="00C744AE">
      <w:pPr>
        <w:rPr>
          <w:sz w:val="24"/>
        </w:rPr>
      </w:pPr>
      <w:r w:rsidRPr="002F4557">
        <w:rPr>
          <w:sz w:val="24"/>
        </w:rPr>
        <w:t xml:space="preserve">Vorschlag S. Bauriedl: </w:t>
      </w:r>
      <w:r w:rsidRPr="002F4557">
        <w:rPr>
          <w:b/>
          <w:color w:val="FF0000"/>
          <w:sz w:val="24"/>
        </w:rPr>
        <w:t>Fakultät Gesellschaftswissenschaften</w:t>
      </w:r>
      <w:r w:rsidRPr="002F4557">
        <w:rPr>
          <w:color w:val="FF0000"/>
          <w:sz w:val="24"/>
        </w:rPr>
        <w:t xml:space="preserve"> </w:t>
      </w:r>
      <w:r w:rsidRPr="002F4557">
        <w:rPr>
          <w:sz w:val="24"/>
        </w:rPr>
        <w:t xml:space="preserve">(oder </w:t>
      </w:r>
      <w:r w:rsidRPr="002F4557">
        <w:rPr>
          <w:b/>
          <w:color w:val="FF0000"/>
          <w:sz w:val="24"/>
        </w:rPr>
        <w:t>Gesellschaftswissenschaftliche</w:t>
      </w:r>
      <w:r w:rsidR="002F4557" w:rsidRPr="002F4557">
        <w:rPr>
          <w:b/>
          <w:color w:val="FF0000"/>
          <w:sz w:val="24"/>
        </w:rPr>
        <w:t> </w:t>
      </w:r>
      <w:r w:rsidRPr="002F4557">
        <w:rPr>
          <w:b/>
          <w:color w:val="FF0000"/>
          <w:sz w:val="24"/>
        </w:rPr>
        <w:t>Fakultät</w:t>
      </w:r>
      <w:r w:rsidRPr="002F4557">
        <w:rPr>
          <w:sz w:val="24"/>
        </w:rPr>
        <w:t>, falls das einheitlicher mit den Namen der anderen Fakultäten erscheint).</w:t>
      </w:r>
      <w:r w:rsidRPr="002F4557">
        <w:rPr>
          <w:sz w:val="24"/>
        </w:rPr>
        <w:br/>
        <w:t xml:space="preserve">Begründung: Gesellschaftswissenschaft umfasst den Gegenstandsbezug, der die in der Fakultät vertretenen Fächer, Studiengänge und Forschungsschwerpunkte vereint. Außerdem zeigt „Gesellschaft“ den anwendungsbezogenen Anspruch und den Beitrag für die Bildung deutlich. </w:t>
      </w:r>
    </w:p>
    <w:p w14:paraId="307489FD" w14:textId="77777777" w:rsidR="00F40073" w:rsidRDefault="00F40073">
      <w:pPr>
        <w:rPr>
          <w:sz w:val="24"/>
        </w:rPr>
      </w:pPr>
    </w:p>
    <w:p w14:paraId="5CEC9C50" w14:textId="77777777" w:rsidR="00263A27" w:rsidRDefault="00263A27">
      <w:pPr>
        <w:rPr>
          <w:sz w:val="24"/>
        </w:rPr>
      </w:pPr>
    </w:p>
    <w:p w14:paraId="54D23D31" w14:textId="77777777" w:rsidR="00263A27" w:rsidRDefault="00263A27" w:rsidP="00263A27">
      <w:pPr>
        <w:rPr>
          <w:sz w:val="24"/>
        </w:rPr>
      </w:pPr>
      <w:r>
        <w:rPr>
          <w:sz w:val="24"/>
        </w:rPr>
        <w:t>Vorschläge aus dem interdisziplinären Institut für Umwelt-, Sozial- und Humanwissenschaften:</w:t>
      </w:r>
    </w:p>
    <w:p w14:paraId="1DDFAACC" w14:textId="20827398" w:rsidR="00263A27" w:rsidRPr="00263A27" w:rsidRDefault="00263A27" w:rsidP="00263A27">
      <w:pPr>
        <w:pStyle w:val="Listenabsatz"/>
        <w:numPr>
          <w:ilvl w:val="0"/>
          <w:numId w:val="1"/>
        </w:numPr>
        <w:rPr>
          <w:rFonts w:asciiTheme="minorHAnsi" w:eastAsiaTheme="minorHAnsi" w:hAnsiTheme="minorHAnsi" w:cstheme="minorBidi"/>
          <w:szCs w:val="22"/>
          <w:lang w:eastAsia="en-US"/>
        </w:rPr>
      </w:pPr>
      <w:r w:rsidRPr="00263A27">
        <w:rPr>
          <w:rFonts w:asciiTheme="minorHAnsi" w:eastAsiaTheme="minorHAnsi" w:hAnsiTheme="minorHAnsi" w:cstheme="minorBidi"/>
          <w:szCs w:val="22"/>
          <w:lang w:eastAsia="en-US"/>
        </w:rPr>
        <w:t xml:space="preserve">Fakultät für Humanwissenschaften </w:t>
      </w:r>
    </w:p>
    <w:p w14:paraId="189D76B8" w14:textId="77777777" w:rsidR="00263A27" w:rsidRPr="00263A27" w:rsidRDefault="00263A27" w:rsidP="00263A27">
      <w:pPr>
        <w:pStyle w:val="Listenabsatz"/>
        <w:numPr>
          <w:ilvl w:val="0"/>
          <w:numId w:val="1"/>
        </w:numPr>
        <w:rPr>
          <w:rFonts w:asciiTheme="minorHAnsi" w:eastAsiaTheme="minorHAnsi" w:hAnsiTheme="minorHAnsi" w:cstheme="minorBidi"/>
          <w:szCs w:val="22"/>
          <w:lang w:eastAsia="en-US"/>
        </w:rPr>
      </w:pPr>
      <w:r w:rsidRPr="00263A27">
        <w:rPr>
          <w:rFonts w:asciiTheme="minorHAnsi" w:eastAsiaTheme="minorHAnsi" w:hAnsiTheme="minorHAnsi" w:cstheme="minorBidi"/>
          <w:szCs w:val="22"/>
          <w:lang w:eastAsia="en-US"/>
        </w:rPr>
        <w:t xml:space="preserve">Fakultät für Gesellschaftliche Herausforderungen </w:t>
      </w:r>
    </w:p>
    <w:p w14:paraId="2FDC94C5" w14:textId="77777777" w:rsidR="00263A27" w:rsidRPr="00263A27" w:rsidRDefault="00263A27" w:rsidP="00263A27">
      <w:pPr>
        <w:pStyle w:val="Listenabsatz"/>
        <w:numPr>
          <w:ilvl w:val="0"/>
          <w:numId w:val="1"/>
        </w:numPr>
        <w:rPr>
          <w:rFonts w:asciiTheme="minorHAnsi" w:eastAsiaTheme="minorHAnsi" w:hAnsiTheme="minorHAnsi" w:cstheme="minorBidi"/>
          <w:szCs w:val="22"/>
          <w:lang w:eastAsia="en-US"/>
        </w:rPr>
      </w:pPr>
      <w:r w:rsidRPr="00263A27">
        <w:rPr>
          <w:rFonts w:asciiTheme="minorHAnsi" w:eastAsiaTheme="minorHAnsi" w:hAnsiTheme="minorHAnsi" w:cstheme="minorBidi"/>
          <w:szCs w:val="22"/>
          <w:lang w:eastAsia="en-US"/>
        </w:rPr>
        <w:t>Philosophische Fakultät</w:t>
      </w:r>
    </w:p>
    <w:p w14:paraId="1E687778" w14:textId="42757A2B" w:rsidR="00263A27" w:rsidRPr="00263A27" w:rsidRDefault="00263A27" w:rsidP="00263A27">
      <w:pPr>
        <w:pStyle w:val="Listenabsatz"/>
        <w:numPr>
          <w:ilvl w:val="0"/>
          <w:numId w:val="1"/>
        </w:numPr>
        <w:rPr>
          <w:rFonts w:asciiTheme="minorHAnsi" w:eastAsiaTheme="minorHAnsi" w:hAnsiTheme="minorHAnsi" w:cstheme="minorBidi"/>
          <w:szCs w:val="22"/>
          <w:lang w:eastAsia="en-US"/>
        </w:rPr>
      </w:pPr>
      <w:r w:rsidRPr="00263A27">
        <w:rPr>
          <w:rFonts w:asciiTheme="minorHAnsi" w:eastAsiaTheme="minorHAnsi" w:hAnsiTheme="minorHAnsi" w:cstheme="minorBidi"/>
          <w:szCs w:val="22"/>
          <w:lang w:eastAsia="en-US"/>
        </w:rPr>
        <w:t>Fakultät III (einfach behalten)</w:t>
      </w:r>
    </w:p>
    <w:p w14:paraId="28F76EC7" w14:textId="77777777" w:rsidR="00263A27" w:rsidRPr="002F4557" w:rsidRDefault="00263A27">
      <w:pPr>
        <w:rPr>
          <w:sz w:val="24"/>
        </w:rPr>
      </w:pPr>
    </w:p>
    <w:sectPr w:rsidR="00263A27" w:rsidRPr="002F45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F842EF"/>
    <w:multiLevelType w:val="hybridMultilevel"/>
    <w:tmpl w:val="3A2E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0116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038"/>
    <w:rsid w:val="00084407"/>
    <w:rsid w:val="00255A69"/>
    <w:rsid w:val="00263A27"/>
    <w:rsid w:val="002F4557"/>
    <w:rsid w:val="005020C6"/>
    <w:rsid w:val="008F6038"/>
    <w:rsid w:val="00A4271D"/>
    <w:rsid w:val="00BB0533"/>
    <w:rsid w:val="00BE1A0C"/>
    <w:rsid w:val="00C744AE"/>
    <w:rsid w:val="00CF361E"/>
    <w:rsid w:val="00EC4570"/>
    <w:rsid w:val="00F400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8EE3"/>
  <w15:chartTrackingRefBased/>
  <w15:docId w15:val="{78086509-5DA5-4F3F-AC3B-2EB209DD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3A2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88775">
      <w:bodyDiv w:val="1"/>
      <w:marLeft w:val="0"/>
      <w:marRight w:val="0"/>
      <w:marTop w:val="0"/>
      <w:marBottom w:val="0"/>
      <w:divBdr>
        <w:top w:val="none" w:sz="0" w:space="0" w:color="auto"/>
        <w:left w:val="none" w:sz="0" w:space="0" w:color="auto"/>
        <w:bottom w:val="none" w:sz="0" w:space="0" w:color="auto"/>
        <w:right w:val="none" w:sz="0" w:space="0" w:color="auto"/>
      </w:divBdr>
    </w:div>
    <w:div w:id="169090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1954</Characters>
  <Application>Microsoft Office Word</Application>
  <DocSecurity>0</DocSecurity>
  <Lines>28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Budde, Juergen</dc:creator>
  <cp:keywords/>
  <dc:description/>
  <cp:lastModifiedBy>Sybille</cp:lastModifiedBy>
  <cp:revision>11</cp:revision>
  <cp:lastPrinted>2023-06-14T08:05:00Z</cp:lastPrinted>
  <dcterms:created xsi:type="dcterms:W3CDTF">2023-05-30T12:39:00Z</dcterms:created>
  <dcterms:modified xsi:type="dcterms:W3CDTF">2023-07-02T15:40:00Z</dcterms:modified>
</cp:coreProperties>
</file>